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1F4162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1F4162" w:rsidRDefault="00B90E7E" w:rsidP="00FE532B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109350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ABK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3034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66.6% of a 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621 </w:t>
            </w:r>
            <w:proofErr w:type="spellStart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and a 9-floor hotel of 4,554 </w:t>
            </w:r>
            <w:proofErr w:type="spellStart"/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  <w:t>in central Athens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26 </w:t>
            </w:r>
            <w:proofErr w:type="spellStart"/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Veranzerou</w:t>
            </w:r>
            <w:proofErr w:type="spellEnd"/>
            <w:r w:rsidR="00FE532B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)</w:t>
            </w:r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554D0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C41C79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thousand Euros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C41C79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26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77F5" w:rsidRPr="00D177F5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D177F5" w:rsidRPr="00D177F5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</w:t>
                  </w:r>
                  <w:r w:rsidR="00C41C79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D177F5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647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D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96A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C79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7F5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32B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2014-10-23T12:59:00Z</dcterms:created>
  <dcterms:modified xsi:type="dcterms:W3CDTF">2014-10-24T11:14:00Z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